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A42" w:rsidRPr="00EE2A42" w:rsidRDefault="00EE2A42" w:rsidP="00EE2A4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E2A42">
        <w:rPr>
          <w:rFonts w:ascii="Simplified Arabic" w:hAnsi="Simplified Arabic" w:hint="cs"/>
          <w:color w:val="0000FF"/>
          <w:sz w:val="28"/>
          <w:szCs w:val="28"/>
          <w:rtl/>
        </w:rPr>
        <w:t xml:space="preserve">أحكام </w:t>
      </w:r>
      <w:r w:rsidR="008408F5">
        <w:rPr>
          <w:rFonts w:ascii="Simplified Arabic" w:hAnsi="Simplified Arabic" w:hint="cs"/>
          <w:color w:val="0000FF"/>
          <w:sz w:val="28"/>
          <w:szCs w:val="28"/>
          <w:rtl/>
        </w:rPr>
        <w:t>المساجد</w:t>
      </w:r>
      <w:bookmarkStart w:id="0" w:name="_GoBack"/>
      <w:bookmarkEnd w:id="0"/>
    </w:p>
    <w:p w:rsidR="00EE2A42" w:rsidRPr="00EE2A42" w:rsidRDefault="00EE2A42" w:rsidP="00EE2A4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E2A42">
        <w:rPr>
          <w:rFonts w:ascii="Simplified Arabic" w:hAnsi="Simplified Arabic" w:hint="cs"/>
          <w:color w:val="0000FF"/>
          <w:sz w:val="28"/>
          <w:szCs w:val="28"/>
          <w:rtl/>
        </w:rPr>
        <w:t>الإيثار في دخول المسجد</w:t>
      </w:r>
    </w:p>
    <w:p w:rsidR="00EE2A42" w:rsidRPr="00EE2A42" w:rsidRDefault="00EE2A42" w:rsidP="00EE2A4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D1762" w:rsidRPr="00EE2A42" w:rsidRDefault="00EE2A42" w:rsidP="00EE2A4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EE2A4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D1762" w:rsidRPr="00EE2A4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D1762" w:rsidRPr="00EE2A4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الإيثار في دخول المسجد؟</w:t>
      </w:r>
    </w:p>
    <w:p w:rsidR="005D1762" w:rsidRPr="00EE2A42" w:rsidRDefault="00EE2A42" w:rsidP="00EE2A4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E2A4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D1762" w:rsidRPr="00EE2A4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D1762">
        <w:rPr>
          <w:sz w:val="36"/>
          <w:szCs w:val="36"/>
          <w:rtl/>
        </w:rPr>
        <w:t xml:space="preserve"> 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الأصل في الإيثار بالقرب أنه مكروه عند أهل العلم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والإيثار بالواجبات لا يجوز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الكلام فيما دون الواجبات 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فهو </w:t>
      </w:r>
      <w:r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عند أهل العلم مكروه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وذلك</w:t>
      </w:r>
      <w:r w:rsidR="005D1762"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كأن يقول لصاحبه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D1762"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(تفضل)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ليدخل 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قبله في المسجد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مكروه عند أهل العلم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قد يترتب على الإيثار مصلحة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أكبر من ذلك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كأن يكون أب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فيكون من باب البر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والبر أفضل من ذلك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يكون شيخ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له حق عليه أو ما أشبه ذلك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يكون من باب التأليف لمصلحة دعوته أو التأثير عليه في شيء من الأمور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وُجِد مثل هذه الأمور التي تفوق ما أ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وثر به فلا مانع من ذلك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المسألة موازنة بين مصالح ومفاسد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وتحصيل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المصلحة العليا وإن ترت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 عليها إهدار مصلحة دنيا من مقاصد الشريعة.</w:t>
      </w:r>
    </w:p>
    <w:p w:rsidR="005D1762" w:rsidRPr="00EE2A42" w:rsidRDefault="00EE2A42" w:rsidP="00EE2A42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الإيثار في القرب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عمومًا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فأهل العلم </w:t>
      </w:r>
      <w:r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يطلقون الكراهة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إذا كان في المستحبات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كان في الواجبات فلا يجوز بحال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كأن يكون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عندك ماء لا يكفي إلا لوضوئك أنت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تق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خذ يا فلان توضأ به وأنا أتيمم</w:t>
      </w:r>
      <w:r w:rsidRPr="00EE2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5D1762" w:rsidRPr="00EE2A4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يجوز ذلك.</w:t>
      </w:r>
    </w:p>
    <w:sectPr w:rsidR="005D1762" w:rsidRPr="00EE2A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8366F81-D7CB-4F9C-B1D6-A10658A23E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3CC7D46-921C-4DCB-A611-E67B66DD812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72548A6-B4FE-433C-AC26-311CCB50A9C4}"/>
    <w:embedBold r:id="rId4" w:fontKey="{8A466EF2-2133-4A32-9092-2E3B3770744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03718F1-0A0A-4201-9132-C2B93772F0B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33A1575-12F1-466D-8E07-F32B8BA8BEA6}"/>
    <w:embedBold r:id="rId7" w:fontKey="{AC542003-DB42-4063-8B0A-E21481F6A92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C933A630-0B83-45C0-BE69-8886BEDE75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2846"/>
    <w:rsid w:val="005D1762"/>
    <w:rsid w:val="007B1580"/>
    <w:rsid w:val="008408F5"/>
    <w:rsid w:val="00992846"/>
    <w:rsid w:val="00EE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A81782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176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EE2A4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EE2A4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7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2017-09-22T13:56:00Z</dcterms:created>
  <dcterms:modified xsi:type="dcterms:W3CDTF">2019-08-04T12:06:00Z</dcterms:modified>
</cp:coreProperties>
</file>