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FA2" w:rsidRPr="00142132" w:rsidRDefault="0042789D" w:rsidP="0085582A">
      <w:pPr>
        <w:pStyle w:val="2TahomaTahoma14"/>
        <w:rPr>
          <w:rFonts w:ascii="Simplified Arabic" w:hAnsi="Simplified Arabic" w:cs="Simplified Arabic"/>
          <w:b w:val="0"/>
          <w:bCs/>
          <w:color w:val="0000FF"/>
          <w:sz w:val="28"/>
          <w:szCs w:val="28"/>
          <w:rtl/>
        </w:rPr>
      </w:pPr>
      <w:r w:rsidRPr="0042789D">
        <w:rPr>
          <w:rFonts w:ascii="Simplified Arabic" w:hAnsi="Simplified Arabic" w:cs="Simplified Arabic"/>
          <w:b w:val="0"/>
          <w:bCs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85582A" w:rsidRPr="00142132" w:rsidRDefault="00561FA2" w:rsidP="00561FA2">
      <w:pPr>
        <w:pStyle w:val="2TahomaTahoma14"/>
        <w:rPr>
          <w:rFonts w:ascii="Simplified Arabic" w:hAnsi="Simplified Arabic" w:cs="Simplified Arabic"/>
          <w:b w:val="0"/>
          <w:bCs/>
          <w:sz w:val="28"/>
          <w:szCs w:val="28"/>
          <w:rtl/>
        </w:rPr>
      </w:pPr>
      <w:r w:rsidRPr="00142132">
        <w:rPr>
          <w:rFonts w:ascii="Simplified Arabic" w:hAnsi="Simplified Arabic" w:cs="Simplified Arabic"/>
          <w:b w:val="0"/>
          <w:bCs/>
          <w:color w:val="0000FF"/>
          <w:sz w:val="28"/>
          <w:szCs w:val="28"/>
          <w:rtl/>
        </w:rPr>
        <w:t xml:space="preserve">ركوع الإمام قبل إكمال </w:t>
      </w:r>
      <w:r w:rsidR="0085582A" w:rsidRPr="00142132">
        <w:rPr>
          <w:rFonts w:ascii="Simplified Arabic" w:hAnsi="Simplified Arabic" w:cs="Simplified Arabic"/>
          <w:b w:val="0"/>
          <w:bCs/>
          <w:color w:val="0000FF"/>
          <w:sz w:val="28"/>
          <w:szCs w:val="28"/>
          <w:rtl/>
        </w:rPr>
        <w:t>المأموم قراءة الفاتحة</w:t>
      </w:r>
    </w:p>
    <w:p w:rsidR="00625567" w:rsidRPr="00142132" w:rsidRDefault="00625567" w:rsidP="0085582A">
      <w:pPr>
        <w:pStyle w:val="2TahomaTahoma14"/>
        <w:rPr>
          <w:rFonts w:ascii="Simplified Arabic" w:hAnsi="Simplified Arabic" w:cs="Simplified Arabic"/>
          <w:b w:val="0"/>
          <w:bCs/>
          <w:sz w:val="28"/>
          <w:szCs w:val="28"/>
          <w:rtl/>
        </w:rPr>
      </w:pPr>
    </w:p>
    <w:p w:rsidR="0085582A" w:rsidRPr="00142132" w:rsidRDefault="00561FA2" w:rsidP="00625567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4213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5582A" w:rsidRPr="0014213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2556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</w:t>
      </w:r>
      <w:r w:rsidR="006255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85582A" w:rsidRPr="001421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الحكم إذا ركع الإمام والمأموم لم ي</w:t>
      </w:r>
      <w:r w:rsidR="006255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5582A" w:rsidRPr="001421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كمل قراءة الفاتحة؛ لأن</w:t>
      </w:r>
      <w:r w:rsidRPr="001421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ني رأيت</w:t>
      </w:r>
      <w:r w:rsidR="006255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1421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فتوى لبعض العلماء يقول</w:t>
      </w:r>
      <w:r w:rsidR="006255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ون</w:t>
      </w:r>
      <w:r w:rsidR="0085582A" w:rsidRPr="001421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فيها: إذا ركع الإمام والمأموم لم ي</w:t>
      </w:r>
      <w:r w:rsidR="006255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5582A" w:rsidRPr="001421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كمل قراءة الفاتحة لا يركع حتى ي</w:t>
      </w:r>
      <w:r w:rsidR="006255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5582A" w:rsidRPr="0014213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كمل قراءة الفاتحة ولو رفع الإمام؟</w:t>
      </w:r>
    </w:p>
    <w:p w:rsidR="00625567" w:rsidRDefault="00561FA2" w:rsidP="00625567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625567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85582A" w:rsidRPr="0062556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: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هذ الحالة إذا ركع الإمام قبل أن ي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كمل المأموم قراة الفاتحة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فهو عندي حكمه حكم المسبوق ما لم ي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فر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ط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وهذا معلوم 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أنه 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على القول ب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</w:t>
      </w: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الفاتحة تلزم كل مصلٍّ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إلا المسبوق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فهذا حكمه 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حكم المسبوق يلزمه أن يركع مع ال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مام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142132" w:rsidRPr="001421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625567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«</w:t>
      </w:r>
      <w:r w:rsidR="00625567" w:rsidRPr="0062556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إذا أتى أحدكم الصلاة والإمام على حال فليصنع كما يصنع الإمام</w:t>
      </w:r>
      <w:r w:rsidR="00625567" w:rsidRPr="005C287A">
        <w:rPr>
          <w:rFonts w:ascii="Simplified Arabic" w:hAnsi="Simplified Arabic" w:cs="Simplified Arabic"/>
          <w:color w:val="0000FF"/>
          <w:sz w:val="28"/>
          <w:szCs w:val="28"/>
          <w:rtl/>
        </w:rPr>
        <w:t>»</w:t>
      </w:r>
      <w:r w:rsidR="0062556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 </w:t>
      </w:r>
      <w:r w:rsidR="00625567" w:rsidRPr="00625567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[الترمذي: </w:t>
      </w:r>
      <w:r w:rsidR="00625567" w:rsidRPr="00625567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591</w:t>
      </w:r>
      <w:r w:rsidR="00625567" w:rsidRPr="00625567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]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والعطف بالفاء يقتضي التعقيب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فلا يتأخر عن إمامه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بل يلزمه أن يركع بعد انقطاع صوته ولو لم ي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كمل قراء الفاتحة، وحينئذ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يكون حكمه حكم المسبوق وتكفيه قراة الإمام حينئذ؛ لأنه في حال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ة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ما لم يفرط، أما إذا فَرَّط -والقول بركنيتها عند جمع من أهل العلم، وهو قول متجه لكل مصلٍّ- فإنه لا ي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عتد بهذه الركعة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CA6896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بل 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لا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85582A"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بد أن يقضيها، هذا إذا فرط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625567" w:rsidRDefault="0085582A" w:rsidP="00625567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ومثل هذا م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يصلي وراء إمام يستعجل في القراءة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فتجد </w:t>
      </w: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بعض الناس في غالب الصلوات 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بل بعضهم في جميع الصلوات</w:t>
      </w: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لا يتمكن من قراءة الفاتحة كاملة وراء هذا الإمام الذي يستعجل في قراءته؛ لأن بعض الناس إذا قرأ جهرًا رَتَّل 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وترسَّل</w:t>
      </w: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لكن إذا قرأ سِرًّا حدر وأسرع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فلا يتمكن بعض المأمومين من تكميل الفاتحة، 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مثل هذا حكمه حكم المسبوق.</w:t>
      </w:r>
    </w:p>
    <w:p w:rsidR="00E67D5A" w:rsidRDefault="0085582A" w:rsidP="00830372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لكن لا ينبغي أن يكون المأموم في حياته كلها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أو جلها</w:t>
      </w: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مسبوقًا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بل ينتقل إلى إمام ي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مك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نه من قراءة الفاتحة، لكن إذا حصل له مثل هذا فحكمه حكم المسبوق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ومعلوم أن المسبوق لا تلزمه قراءة الفاتحة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كما في حديث أبي بكرة حينما ركع دون الصف ثم لحق بالصف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ومعلوم أنه جاء والنبي 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عليه الصلاة والسلام-</w:t>
      </w: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راكع، وقال النبي -عليه الصلاة والسلام-: </w:t>
      </w:r>
      <w:r w:rsidR="00625567" w:rsidRPr="0062556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«زادك الله حرصا ولا تعد»</w:t>
      </w:r>
      <w:r w:rsidR="00625567" w:rsidRPr="0062556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 </w:t>
      </w:r>
      <w:r w:rsidR="00625567" w:rsidRPr="00625567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[البخاري: 783]</w:t>
      </w:r>
      <w:r w:rsidR="00625567" w:rsidRP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، أو </w:t>
      </w:r>
      <w:r w:rsidR="00625567" w:rsidRPr="0062556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</w:t>
      </w:r>
      <w:r w:rsidR="00625567" w:rsidRPr="0062556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ولا </w:t>
      </w:r>
      <w:r w:rsidR="00625567" w:rsidRPr="0062556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تُعِدْ»</w:t>
      </w:r>
      <w:r w:rsidR="00625567" w:rsidRP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إلى آخر </w:t>
      </w:r>
      <w:r w:rsid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الرواي</w:t>
      </w:r>
      <w:r w:rsid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ات</w:t>
      </w:r>
      <w:r w:rsidRPr="001421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المذكورة في الحديث.</w:t>
      </w:r>
    </w:p>
    <w:p w:rsidR="00625567" w:rsidRPr="00625567" w:rsidRDefault="00625567" w:rsidP="00625567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  <w:r w:rsidRPr="0062556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المصدر: </w:t>
      </w:r>
      <w:r w:rsidRPr="0062556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السابعة، 18/9/1431.</w:t>
      </w:r>
    </w:p>
    <w:p w:rsidR="00625567" w:rsidRPr="00625567" w:rsidRDefault="00625567" w:rsidP="00625567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sectPr w:rsidR="00625567" w:rsidRPr="0062556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33A6" w:rsidRDefault="005533A6" w:rsidP="0085582A">
      <w:r>
        <w:separator/>
      </w:r>
    </w:p>
  </w:endnote>
  <w:endnote w:type="continuationSeparator" w:id="0">
    <w:p w:rsidR="005533A6" w:rsidRDefault="005533A6" w:rsidP="00855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617DF57-2895-42E4-BA8E-AEC2134792D4}"/>
    <w:embedBold r:id="rId2" w:fontKey="{FD119B2C-6F13-4AD8-8B6A-3C2E028BA4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4AB170-FB14-4E91-AF15-AD4EA63130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00ED5D0-E80F-496A-B423-82D28A27CFF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65E787D-F339-496C-81D6-C8A22467BDCF}"/>
    <w:embedBold r:id="rId6" w:fontKey="{433DDAB6-E339-49E7-80F6-643C19796F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7" w:fontKey="{4BA75B51-D1DD-4E33-A86A-AD0568D887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7292918-CB25-43D2-83AF-160867FEDC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966403D-429B-4D02-BA03-DA50906908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33A6" w:rsidRDefault="005533A6" w:rsidP="0085582A">
      <w:r>
        <w:separator/>
      </w:r>
    </w:p>
  </w:footnote>
  <w:footnote w:type="continuationSeparator" w:id="0">
    <w:p w:rsidR="005533A6" w:rsidRDefault="005533A6" w:rsidP="008558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582A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4D3F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132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65B9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5456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89D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324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3FC7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3A6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1FA2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5567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2C2D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0372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82A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2E8D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291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4FC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6896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08FC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C8F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3ECA"/>
    <w:rsid w:val="00F94214"/>
    <w:rsid w:val="00F94C1F"/>
    <w:rsid w:val="00F95998"/>
    <w:rsid w:val="00F96D76"/>
    <w:rsid w:val="00FA14C5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9AB0A1E-7452-4054-A3FB-C3956E03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582A"/>
    <w:pPr>
      <w:bidi/>
      <w:spacing w:after="0" w:line="240" w:lineRule="auto"/>
    </w:pPr>
    <w:rPr>
      <w:rFonts w:eastAsia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85582A"/>
    <w:rPr>
      <w:rFonts w:eastAsia="SimSun" w:cs="Traditional Arabic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85582A"/>
    <w:rPr>
      <w:rFonts w:eastAsia="SimSun"/>
      <w:noProof/>
      <w:sz w:val="20"/>
      <w:szCs w:val="20"/>
    </w:rPr>
  </w:style>
  <w:style w:type="character" w:styleId="a5">
    <w:name w:val="footnote reference"/>
    <w:semiHidden/>
    <w:rsid w:val="0085582A"/>
    <w:rPr>
      <w:vertAlign w:val="superscript"/>
    </w:rPr>
  </w:style>
  <w:style w:type="paragraph" w:customStyle="1" w:styleId="2TahomaTahoma14">
    <w:name w:val="عنوان 2 + (لاتيني) Tahoma، (العربية وغيرها) Tahoma، ‏14 نقطة، غامق"/>
    <w:basedOn w:val="a"/>
    <w:rsid w:val="0085582A"/>
    <w:pPr>
      <w:jc w:val="center"/>
    </w:pPr>
    <w:rPr>
      <w:rFonts w:cs="AL-Mohanad Bold"/>
      <w:b/>
      <w:sz w:val="36"/>
      <w:szCs w:val="36"/>
    </w:rPr>
  </w:style>
  <w:style w:type="paragraph" w:styleId="a6">
    <w:name w:val="endnote text"/>
    <w:basedOn w:val="a"/>
    <w:link w:val="Char1"/>
    <w:uiPriority w:val="99"/>
    <w:semiHidden/>
    <w:unhideWhenUsed/>
    <w:rsid w:val="002565B9"/>
    <w:rPr>
      <w:sz w:val="20"/>
      <w:szCs w:val="20"/>
    </w:rPr>
  </w:style>
  <w:style w:type="character" w:customStyle="1" w:styleId="Char1">
    <w:name w:val="نص تعليق ختامي Char"/>
    <w:basedOn w:val="a0"/>
    <w:link w:val="a6"/>
    <w:uiPriority w:val="99"/>
    <w:semiHidden/>
    <w:rsid w:val="002565B9"/>
    <w:rPr>
      <w:rFonts w:eastAsia="Times New Roman" w:cs="Times New Roman"/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2565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8F4C0-9375-45BC-B550-F37B37E52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253</Words>
  <Characters>1448</Characters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2014-12-05T05:06:00Z</cp:lastPrinted>
  <dcterms:created xsi:type="dcterms:W3CDTF">2012-11-25T07:46:00Z</dcterms:created>
  <dcterms:modified xsi:type="dcterms:W3CDTF">2019-06-15T19:02:00Z</dcterms:modified>
</cp:coreProperties>
</file>