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7FB" w:rsidRPr="00B562AA" w:rsidRDefault="00D27E8C" w:rsidP="00B56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7E8C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DE07FB" w:rsidRPr="00B562AA" w:rsidRDefault="00DE07FB" w:rsidP="00B56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86DB6">
        <w:rPr>
          <w:rFonts w:ascii="Simplified Arabic" w:hAnsi="Simplified Arabic"/>
          <w:color w:val="0000FF"/>
          <w:sz w:val="28"/>
          <w:szCs w:val="28"/>
          <w:rtl/>
        </w:rPr>
        <w:t>الموالاة بين أعضاء الوضوء</w:t>
      </w:r>
    </w:p>
    <w:p w:rsidR="00D91959" w:rsidRPr="00B562AA" w:rsidRDefault="00D91959" w:rsidP="00B56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94681" w:rsidRPr="00486DB6" w:rsidRDefault="00DE07FB" w:rsidP="006A007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86D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94681" w:rsidRPr="00486D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هل الموالاة بين أعضاء الوضوء واجب من واجبات الوضوء؟ وما هو ضابط ذلك </w:t>
      </w:r>
      <w:r w:rsidR="00B56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94681" w:rsidRPr="00486D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بارك الله فيكم</w:t>
      </w:r>
      <w:r w:rsidR="00B56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94681" w:rsidRPr="00486D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794681" w:rsidRPr="00486DB6" w:rsidRDefault="00DE07FB" w:rsidP="00DE07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86D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94681" w:rsidRPr="00B562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94681" w:rsidRPr="00486D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>الموالاة بين أعضاء الوضوء بحيث لا ي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>ترك العضو حتى ينشف قبل غسل الذي يليه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هذا ضابط الموالاة</w:t>
      </w:r>
      <w:r w:rsidRPr="00486DB6">
        <w:rPr>
          <w:rFonts w:ascii="Simplified Arabic" w:hAnsi="Simplified Arabic" w:cs="Simplified Arabic"/>
          <w:sz w:val="28"/>
          <w:szCs w:val="28"/>
          <w:rtl/>
        </w:rPr>
        <w:t>،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وهو فرض من فرائض الوضوء عند جمعٍ من أهل العلم</w:t>
      </w:r>
      <w:r w:rsidRPr="00486DB6">
        <w:rPr>
          <w:rFonts w:ascii="Simplified Arabic" w:hAnsi="Simplified Arabic" w:cs="Simplified Arabic"/>
          <w:sz w:val="28"/>
          <w:szCs w:val="28"/>
          <w:rtl/>
        </w:rPr>
        <w:t>،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وهو المتجه</w:t>
      </w:r>
      <w:r w:rsidRPr="00486DB6">
        <w:rPr>
          <w:rFonts w:ascii="Simplified Arabic" w:hAnsi="Simplified Arabic" w:cs="Simplified Arabic"/>
          <w:sz w:val="28"/>
          <w:szCs w:val="28"/>
          <w:rtl/>
        </w:rPr>
        <w:t>؛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النبي -عليه الصلاة والسلام- توضأ كما أمره الله في آية المائدة م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>رت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>بًا مع الموالاة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فلا يُعرف عنه -عليه الصلاة والسلام- أنّ</w:t>
      </w:r>
      <w:r w:rsidR="00D9195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>ه غسل عضوًا ثم قطع الوضوء وذهب يشتغل وينصرف عن وضوئه بأمر من الأمور ثم عاد وأكمل الوضوء</w:t>
      </w:r>
      <w:r w:rsidRPr="00486DB6">
        <w:rPr>
          <w:rFonts w:ascii="Simplified Arabic" w:hAnsi="Simplified Arabic" w:cs="Simplified Arabic"/>
          <w:sz w:val="28"/>
          <w:szCs w:val="28"/>
          <w:rtl/>
        </w:rPr>
        <w:t>،</w:t>
      </w:r>
      <w:r w:rsidR="00794681" w:rsidRPr="00486DB6">
        <w:rPr>
          <w:rFonts w:ascii="Simplified Arabic" w:hAnsi="Simplified Arabic" w:cs="Simplified Arabic"/>
          <w:sz w:val="28"/>
          <w:szCs w:val="28"/>
          <w:rtl/>
        </w:rPr>
        <w:t xml:space="preserve"> إنما كل النصوص التي جاءت في صفة وضوئه -عليه الصلاة والسلام- تدل على أنه والى بين أعضاء الوضوء.</w:t>
      </w:r>
    </w:p>
    <w:p w:rsidR="00E67D5A" w:rsidRPr="00486DB6" w:rsidRDefault="00794681" w:rsidP="00794681">
      <w:pPr>
        <w:rPr>
          <w:rFonts w:ascii="Simplified Arabic" w:hAnsi="Simplified Arabic" w:cs="Simplified Arabic"/>
          <w:sz w:val="28"/>
          <w:szCs w:val="28"/>
        </w:rPr>
      </w:pPr>
      <w:r w:rsidRPr="00486DB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86DB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sectPr w:rsidR="00E67D5A" w:rsidRPr="00486D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9A377D-D7CD-453D-8842-A6999101DDF5}"/>
    <w:embedBold r:id="rId2" w:fontKey="{92EB8BCD-B5B9-48D0-9F7B-EEB76CACD5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2CA1E3-CB11-42F8-953F-98991F024D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27AF75-7363-4C68-8ED2-AEDA90D46F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EA197E-FC1C-4B98-A165-AF304A32A063}"/>
    <w:embedBold r:id="rId6" w:fontKey="{90C57728-959B-45FD-A728-39E4D43176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B84022-564C-45BD-B945-85F49574E0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E420F9C-F25C-41AF-9881-F316D8833A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68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666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6DB6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07B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681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62AA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27E8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959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7FB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6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584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2015-02-06T16:24:00Z</cp:lastPrinted>
  <dcterms:created xsi:type="dcterms:W3CDTF">2012-12-18T10:35:00Z</dcterms:created>
  <dcterms:modified xsi:type="dcterms:W3CDTF">2019-06-18T20:32:00Z</dcterms:modified>
</cp:coreProperties>
</file>