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9A8" w:rsidRPr="00CA79A8" w:rsidRDefault="00CA79A8" w:rsidP="00CA79A8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CA79A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علوم القرآن</w:t>
      </w:r>
    </w:p>
    <w:p w:rsidR="00CA79A8" w:rsidRPr="00CA79A8" w:rsidRDefault="00CA79A8" w:rsidP="00CA79A8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CA79A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تعيين المبهمات في القرآن</w:t>
      </w:r>
    </w:p>
    <w:p w:rsidR="00CA79A8" w:rsidRPr="00CA79A8" w:rsidRDefault="00CA79A8" w:rsidP="00CA79A8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99541B" w:rsidRPr="00CA79A8" w:rsidRDefault="00CA79A8" w:rsidP="00CA79A8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79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9541B" w:rsidRPr="00CA79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541B" w:rsidRPr="00CA79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كل ما جاء في القرآن من المبهمات يلزمُنا الكشف والتنقيب عنه؟</w:t>
      </w:r>
    </w:p>
    <w:p w:rsidR="00CA79A8" w:rsidRDefault="00CA79A8" w:rsidP="00CA79A8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CA79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9541B" w:rsidRPr="00CA79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ما جاء من المبه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ت في القرآن فإن ورد تعيينه في القرآن أو في صحيح السنة فإنّه يعتمد عليه ويعول عليه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ويَلزم تعيينه بما ثبت عن الله وعن رسوله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A79A8">
        <w:rPr>
          <w:rFonts w:ascii="Simplified Arabic" w:hAnsi="Simplified Arabic" w:cs="Simplified Arabic"/>
          <w:sz w:val="28"/>
          <w:szCs w:val="28"/>
          <w:rtl/>
        </w:rPr>
        <w:t>–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صلى الله عليه وسلم-،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العدول عنه إلى غيره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وأما ما لم يثبت فيه شيء فإنه لا يجوز تعيينه بمجرد الرأي ولا بالاعتماد على الإسرائيليات كما يفعل كثير من المفسرين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فإن الذي يعين المبهم يجزم بأن هذا مراد الله -جل وعلا- من هذا المبهم في هذا الموضع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وهذا لا شك أنه افتيات وقول على الله بلا علم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 وكل ما كان فيه من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فعة ومصلحة من جراء تعيينه فقد جاء تعيينه في الكتاب أو في صحيح السنة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وما لا فائدة ولا منفعة فيه مما كُلِفَ به بعض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المفسرين وحاولوا أن يعينوه فإن هذا لا فائدة في تعيينه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ولم يرد به شيء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 فعلى المسلم أ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ا يشتغل به ولا يعتني به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-رحمه الله- يقول في 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مجموع الفتاوى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):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الاختلاف في التفسير على نوعين منه ما مستنده النقل فقط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ومنه ما يعلم بغير ذلك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إذ العلم إما نقل مصدَّق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وإما استدلال محقق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والمنقول إما عن المعصوم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أو عن غيرِ المعصوم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والمقصود 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أن جنس المنقول سواء كان عن المعصوم أو غير المعصوم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وهذا هو النوع الأول منه ما يمكن معرفةُ الصحيح منه والضعيف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ومنه ما لا يمكن معرفة ذلك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وهذا 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القسم الثاني من المنقول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وهو ما لا طريق لنا إلى الجزم بالصدق منه عامَّت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ه مما لا فائدة فيه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فالكلام فيه من فضول الكلام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. وأما ما 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يـحتاج المسلمون إلى معرفته فإنّ الله نصب على الحق فيه دليلاً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فمثال ما لا يفيد ولا دليل على الصحيح منه اختلافهم في لون كلب أصحاب الكهف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ب لم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ا ي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غ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م بعض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المفسري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ن الذين يعتنون بالإسرائيليات ب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لون كلب أصحاب الكهف</w:t>
      </w:r>
      <w:r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وفي البعض الذي ضرب به موسى من البقرة 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هل هو من يدها أو من رجلها أو من ذيلها أو من كذا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هل يترتب على ذلك فائدة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؟-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وفي مقدار سفينة نوح 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>يعني كم طولها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وكم عرضها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؟-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وما كان خشبها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وفي اسم الغلام الذي قتله الخضر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541B"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ونحو ذلك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9541B" w:rsidRPr="00CA79A8" w:rsidRDefault="0099541B" w:rsidP="00CA79A8">
      <w:pPr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CA79A8">
        <w:rPr>
          <w:rFonts w:ascii="Simplified Arabic" w:hAnsi="Simplified Arabic" w:cs="Simplified Arabic" w:hint="cs"/>
          <w:sz w:val="28"/>
          <w:szCs w:val="28"/>
          <w:rtl/>
        </w:rPr>
        <w:t>وعلى كل حال مبهمات القرآن فيها مصنَّفات</w:t>
      </w:r>
      <w:r w:rsidR="00CA79A8"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صنَّف في ذلك السهيلي</w:t>
      </w:r>
      <w:r w:rsidR="00CA79A8"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وكتابه مطبوع</w:t>
      </w:r>
      <w:r w:rsidR="00CA79A8"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السيوطي له كتاب اسمه </w:t>
      </w:r>
      <w:r w:rsidR="00CA79A8" w:rsidRPr="00CA79A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>مفحمات الأقران في مبهمات القرآن</w:t>
      </w:r>
      <w:r w:rsidR="00CA79A8" w:rsidRPr="00CA79A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وفي هذين الكتابين مما وجد في كتب التفسير مما لا يثبت</w:t>
      </w:r>
      <w:r w:rsidR="00CA79A8"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ومثل ما قال شيخ الإسلام أن تتبع مثل هذا لا خير فيه</w:t>
      </w:r>
      <w:r w:rsidR="00CA79A8" w:rsidRPr="00CA79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A79A8">
        <w:rPr>
          <w:rFonts w:ascii="Simplified Arabic" w:hAnsi="Simplified Arabic" w:cs="Simplified Arabic" w:hint="cs"/>
          <w:sz w:val="28"/>
          <w:szCs w:val="28"/>
          <w:rtl/>
        </w:rPr>
        <w:t xml:space="preserve"> لا سيما إذا كان لا يترتب عليه فائدة.</w:t>
      </w:r>
    </w:p>
    <w:p w:rsidR="00E67D5A" w:rsidRPr="00CA79A8" w:rsidRDefault="0099541B" w:rsidP="00CA79A8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CA79A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CA79A8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503A" w:rsidRDefault="00BF503A" w:rsidP="0099541B">
      <w:pPr>
        <w:spacing w:before="0" w:after="0" w:line="240" w:lineRule="auto"/>
      </w:pPr>
      <w:r>
        <w:separator/>
      </w:r>
    </w:p>
  </w:endnote>
  <w:endnote w:type="continuationSeparator" w:id="0">
    <w:p w:rsidR="00BF503A" w:rsidRDefault="00BF503A" w:rsidP="009954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EF0D64-B632-4950-83F3-B65440AE7793}"/>
    <w:embedBold r:id="rId2" w:fontKey="{639C29E4-6E2F-42A4-ACF9-6299888DC6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849575-EE32-4C68-A752-7221DAC669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85EB608-84D5-44DF-A7CC-1394EAC9C65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82A4B57-B00A-43B8-935B-7FCA9A3038F5}"/>
    <w:embedBold r:id="rId6" w:fontKey="{42859029-44B3-4C55-89C0-3A4A10B5D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64CA01-66C4-4FA1-B7F7-9083CE2E23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FD4F4C8-695D-4428-A73F-4232EE371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41B" w:rsidRDefault="0099541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950934"/>
      <w:docPartObj>
        <w:docPartGallery w:val="Page Numbers (Bottom of Page)"/>
        <w:docPartUnique/>
      </w:docPartObj>
    </w:sdtPr>
    <w:sdtEndPr/>
    <w:sdtContent>
      <w:p w:rsidR="0099541B" w:rsidRDefault="00685A2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511" w:rsidRPr="005B0511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99541B" w:rsidRDefault="0099541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41B" w:rsidRDefault="009954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503A" w:rsidRDefault="00BF503A" w:rsidP="0099541B">
      <w:pPr>
        <w:spacing w:before="0" w:after="0" w:line="240" w:lineRule="auto"/>
      </w:pPr>
      <w:r>
        <w:separator/>
      </w:r>
    </w:p>
  </w:footnote>
  <w:footnote w:type="continuationSeparator" w:id="0">
    <w:p w:rsidR="00BF503A" w:rsidRDefault="00BF503A" w:rsidP="009954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41B" w:rsidRDefault="0099541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41B" w:rsidRDefault="0099541B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41B" w:rsidRDefault="0099541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541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51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03AE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A2C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541B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5C5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503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9A8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0AC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2ACA7DE-6925-4D70-BC2C-768775C8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41B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99541B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99541B"/>
    <w:rPr>
      <w:rFonts w:eastAsia="SimSun"/>
      <w:noProof/>
      <w:sz w:val="36"/>
      <w:szCs w:val="36"/>
    </w:rPr>
  </w:style>
  <w:style w:type="paragraph" w:styleId="a5">
    <w:name w:val="footer"/>
    <w:basedOn w:val="a"/>
    <w:link w:val="Char1"/>
    <w:uiPriority w:val="99"/>
    <w:unhideWhenUsed/>
    <w:rsid w:val="0099541B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9541B"/>
    <w:rPr>
      <w:rFonts w:eastAsia="SimSun"/>
      <w:noProof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2012-12-29T04:35:00Z</dcterms:created>
  <dcterms:modified xsi:type="dcterms:W3CDTF">2019-07-09T11:49:00Z</dcterms:modified>
</cp:coreProperties>
</file>