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2545" w:rsidRPr="00502545" w:rsidRDefault="009B0551" w:rsidP="005025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B0551">
        <w:rPr>
          <w:rFonts w:ascii="Simplified Arabic" w:hAnsi="Simplified Arabic"/>
          <w:color w:val="0000FF"/>
          <w:sz w:val="28"/>
          <w:szCs w:val="28"/>
          <w:rtl/>
        </w:rPr>
        <w:t>الحقوق الزوجية</w:t>
      </w:r>
    </w:p>
    <w:p w:rsidR="00502545" w:rsidRPr="00502545" w:rsidRDefault="00502545" w:rsidP="005025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02545">
        <w:rPr>
          <w:rFonts w:ascii="Simplified Arabic" w:hAnsi="Simplified Arabic" w:hint="cs"/>
          <w:color w:val="0000FF"/>
          <w:sz w:val="28"/>
          <w:szCs w:val="28"/>
          <w:rtl/>
        </w:rPr>
        <w:t>الاغتراب عن الزوجة أكثر من سنة</w:t>
      </w:r>
    </w:p>
    <w:p w:rsidR="00502545" w:rsidRPr="00502545" w:rsidRDefault="00502545" w:rsidP="005025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634BA" w:rsidRPr="00502545" w:rsidRDefault="00502545" w:rsidP="0050254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025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634BA" w:rsidRPr="005025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34BA" w:rsidRPr="005025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مغترب لي سنة وشهران</w:t>
      </w:r>
      <w:r w:rsidRPr="005025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634BA" w:rsidRPr="005025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أجبرتني ظروفي على ذلك</w:t>
      </w:r>
      <w:r w:rsidRPr="005025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634BA" w:rsidRPr="005025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متزوج</w:t>
      </w:r>
      <w:r w:rsidRPr="005025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634BA" w:rsidRPr="005025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عليّ إثم في ذلك؟ </w:t>
      </w:r>
    </w:p>
    <w:p w:rsidR="008634BA" w:rsidRPr="00502545" w:rsidRDefault="00502545" w:rsidP="0050254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025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634BA" w:rsidRPr="005025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634BA">
        <w:rPr>
          <w:rFonts w:hint="cs"/>
          <w:sz w:val="36"/>
          <w:szCs w:val="36"/>
          <w:rtl/>
        </w:rPr>
        <w:t xml:space="preserve"> </w:t>
      </w:r>
      <w:r w:rsidR="008634BA" w:rsidRPr="00502545">
        <w:rPr>
          <w:rFonts w:ascii="Simplified Arabic" w:hAnsi="Simplified Arabic" w:cs="Simplified Arabic" w:hint="cs"/>
          <w:sz w:val="28"/>
          <w:szCs w:val="28"/>
          <w:rtl/>
        </w:rPr>
        <w:t>إذا سافر الرجل وترك زوجته مدة لا تتضرر بها وتأذن له بها ولو طالت فإن الأمر لا يعدوها ولا إثم عليه، لكن إذا طالت المدة وتضررت الزوجة فإنه يأثم بتركها</w:t>
      </w:r>
      <w:r w:rsidRPr="0050254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634BA" w:rsidRPr="00502545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تطالب بحقها في القضاء الشرعي</w:t>
      </w:r>
      <w:r w:rsidRPr="0050254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634BA" w:rsidRPr="00502545">
        <w:rPr>
          <w:rFonts w:ascii="Simplified Arabic" w:hAnsi="Simplified Arabic" w:cs="Simplified Arabic" w:hint="cs"/>
          <w:sz w:val="28"/>
          <w:szCs w:val="28"/>
          <w:rtl/>
        </w:rPr>
        <w:t xml:space="preserve"> فإما أن يرجع أو يفسخ إذا كانت متضررة بالبقاء بدونه أكثر من ستة أشهر.</w:t>
      </w:r>
    </w:p>
    <w:p w:rsidR="00502545" w:rsidRPr="00502545" w:rsidRDefault="00502545" w:rsidP="0050254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502545" w:rsidRDefault="008634BA" w:rsidP="0050254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02545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502545">
        <w:rPr>
          <w:rFonts w:ascii="Simplified Arabic" w:hAnsi="Simplified Arabic" w:cs="Simplified Arabic" w:hint="cs"/>
          <w:sz w:val="28"/>
          <w:szCs w:val="28"/>
          <w:rtl/>
        </w:rPr>
        <w:t>الثالثة والثمانون</w:t>
      </w:r>
      <w:r w:rsidRPr="0050254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02545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502545">
        <w:rPr>
          <w:rFonts w:ascii="Simplified Arabic" w:hAnsi="Simplified Arabic" w:cs="Simplified Arabic"/>
          <w:sz w:val="28"/>
          <w:szCs w:val="28"/>
          <w:rtl/>
        </w:rPr>
        <w:t>/</w:t>
      </w:r>
      <w:r w:rsidRPr="00502545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502545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50254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E132FE-04D1-4BEC-8A3D-86117CBE272D}"/>
    <w:embedBold r:id="rId2" w:fontKey="{FF199229-1AE3-4BA9-8EA6-FEC488F744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31BEC2-BF41-46C5-9A94-ECE3635C903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BC8B657-EDA0-4CAF-86CF-8760E2EFB0B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2B9EB67-7E21-43B5-BAD3-C95AC774F051}"/>
    <w:embedBold r:id="rId6" w:fontKey="{AB261944-F6DE-44E8-B853-992A501762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7764E37-139C-425A-9E38-B60C7D2F6E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9351891-A48F-4214-823F-2E5D258F5B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4BA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545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4BA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551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25A04AD-5A67-4DCF-AAAD-5C6E27A09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34B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2013-01-30T08:04:00Z</dcterms:created>
  <dcterms:modified xsi:type="dcterms:W3CDTF">2019-07-13T11:34:00Z</dcterms:modified>
</cp:coreProperties>
</file>