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5BFB" w14:textId="77777777" w:rsidR="00842E8A" w:rsidRPr="001C39AE" w:rsidRDefault="00842E8A" w:rsidP="00842E8A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1C39AE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1C39AE">
        <w:rPr>
          <w:rFonts w:ascii="Traditional Arabic" w:hAnsi="Traditional Arabic" w:hint="cs"/>
          <w:b/>
          <w:bCs/>
          <w:sz w:val="28"/>
          <w:szCs w:val="28"/>
          <w:rtl/>
        </w:rPr>
        <w:t>الصلاة والسلام على غير النبي استقلالا</w:t>
      </w:r>
      <w:r w:rsidRPr="001C39AE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28770D4" w14:textId="77777777" w:rsidR="00842E8A" w:rsidRDefault="00842E8A" w:rsidP="00842E8A">
      <w:pPr>
        <w:rPr>
          <w:rFonts w:ascii="Traditional Arabic" w:hAnsi="Traditional Arabic"/>
          <w:sz w:val="28"/>
          <w:szCs w:val="28"/>
          <w:rtl/>
        </w:rPr>
      </w:pPr>
    </w:p>
    <w:p w14:paraId="05A58AAD" w14:textId="774D7B7D" w:rsidR="00DB33AD" w:rsidRDefault="00842E8A" w:rsidP="00842E8A">
      <w:r w:rsidRPr="00DF3030">
        <w:rPr>
          <w:rFonts w:ascii="Traditional Arabic" w:hAnsi="Traditional Arabic" w:hint="cs"/>
          <w:sz w:val="28"/>
          <w:szCs w:val="28"/>
          <w:rtl/>
        </w:rPr>
        <w:t xml:space="preserve">الصلاة </w:t>
      </w:r>
      <w:r w:rsidRPr="00DF3030">
        <w:rPr>
          <w:rFonts w:ascii="Traditional Arabic" w:hAnsi="Traditional Arabic"/>
          <w:sz w:val="28"/>
          <w:szCs w:val="28"/>
          <w:rtl/>
        </w:rPr>
        <w:t xml:space="preserve">على الآل، أو الصحب، أو </w:t>
      </w:r>
      <w:r w:rsidRPr="00DF3030">
        <w:rPr>
          <w:rFonts w:ascii="Traditional Arabic" w:hAnsi="Traditional Arabic" w:hint="cs"/>
          <w:sz w:val="28"/>
          <w:szCs w:val="28"/>
          <w:rtl/>
        </w:rPr>
        <w:t>أحد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من الناس على سبيل الاستقلال، كأن </w:t>
      </w:r>
      <w:r w:rsidRPr="00DF3030">
        <w:rPr>
          <w:rFonts w:ascii="Traditional Arabic" w:hAnsi="Traditional Arabic" w:hint="cs"/>
          <w:sz w:val="28"/>
          <w:szCs w:val="28"/>
          <w:rtl/>
        </w:rPr>
        <w:t>يقال</w:t>
      </w:r>
      <w:r w:rsidRPr="00DF3030">
        <w:rPr>
          <w:rFonts w:ascii="Traditional Arabic" w:hAnsi="Traditional Arabic"/>
          <w:sz w:val="28"/>
          <w:szCs w:val="28"/>
          <w:rtl/>
        </w:rPr>
        <w:t>: (أبو بكر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F3030">
        <w:rPr>
          <w:rFonts w:ascii="Traditional Arabic" w:hAnsi="Traditional Arabic"/>
          <w:sz w:val="28"/>
          <w:szCs w:val="28"/>
          <w:rtl/>
        </w:rPr>
        <w:t>)، أو: (عمر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F3030">
        <w:rPr>
          <w:rFonts w:ascii="Traditional Arabic" w:hAnsi="Traditional Arabic"/>
          <w:sz w:val="28"/>
          <w:szCs w:val="28"/>
          <w:rtl/>
        </w:rPr>
        <w:t>)، أو: (علي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F3030">
        <w:rPr>
          <w:rFonts w:ascii="Traditional Arabic" w:hAnsi="Traditional Arabic"/>
          <w:sz w:val="28"/>
          <w:szCs w:val="28"/>
          <w:rtl/>
        </w:rPr>
        <w:t>)، فعامة أهل العلم على أن الصلاة والسلام خاصة بالنبي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وسلم، ف</w:t>
      </w:r>
      <w:r w:rsidRPr="00DF3030">
        <w:rPr>
          <w:rFonts w:ascii="Traditional Arabic" w:hAnsi="Traditional Arabic"/>
          <w:sz w:val="28"/>
          <w:szCs w:val="28"/>
          <w:rtl/>
        </w:rPr>
        <w:t>العُرف الع</w:t>
      </w:r>
      <w:r w:rsidRPr="00DF3030">
        <w:rPr>
          <w:rFonts w:ascii="Traditional Arabic" w:hAnsi="Traditional Arabic" w:hint="cs"/>
          <w:sz w:val="28"/>
          <w:szCs w:val="28"/>
          <w:rtl/>
        </w:rPr>
        <w:t>م</w:t>
      </w:r>
      <w:r w:rsidRPr="00DF3030">
        <w:rPr>
          <w:rFonts w:ascii="Traditional Arabic" w:hAnsi="Traditional Arabic"/>
          <w:sz w:val="28"/>
          <w:szCs w:val="28"/>
          <w:rtl/>
        </w:rPr>
        <w:t>لي عند أهل العلم الذي تواط</w:t>
      </w:r>
      <w:r w:rsidRPr="00DF3030">
        <w:rPr>
          <w:rFonts w:ascii="Traditional Arabic" w:hAnsi="Traditional Arabic" w:hint="cs"/>
          <w:sz w:val="28"/>
          <w:szCs w:val="28"/>
          <w:rtl/>
        </w:rPr>
        <w:t>ؤ</w:t>
      </w:r>
      <w:r w:rsidRPr="00DF3030">
        <w:rPr>
          <w:rFonts w:ascii="Traditional Arabic" w:hAnsi="Traditional Arabic"/>
          <w:sz w:val="28"/>
          <w:szCs w:val="28"/>
          <w:rtl/>
        </w:rPr>
        <w:t>وا عليه من صدر الأمة إلى آخرها تخصيص (</w:t>
      </w:r>
      <w:r w:rsidRPr="00DF3030">
        <w:rPr>
          <w:rFonts w:ascii="Traditional Arabic" w:hAnsi="Traditional Arabic" w:hint="cs"/>
          <w:sz w:val="28"/>
          <w:szCs w:val="28"/>
          <w:rtl/>
        </w:rPr>
        <w:t>عزَّ وجلَّ</w:t>
      </w:r>
      <w:r w:rsidRPr="00DF3030">
        <w:rPr>
          <w:rFonts w:ascii="Traditional Arabic" w:hAnsi="Traditional Arabic"/>
          <w:sz w:val="28"/>
          <w:szCs w:val="28"/>
          <w:rtl/>
        </w:rPr>
        <w:t>) باللَّه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جل جلاله</w:t>
      </w:r>
      <w:r w:rsidRPr="00DF3030">
        <w:rPr>
          <w:rFonts w:ascii="Traditional Arabic" w:hAnsi="Traditional Arabic"/>
          <w:sz w:val="28"/>
          <w:szCs w:val="28"/>
          <w:rtl/>
        </w:rPr>
        <w:t>، والصلاة على النبي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كما أُمر</w:t>
      </w:r>
      <w:r w:rsidRPr="00DF3030">
        <w:rPr>
          <w:rFonts w:ascii="Traditional Arabic" w:hAnsi="Traditional Arabic" w:hint="cs"/>
          <w:sz w:val="28"/>
          <w:szCs w:val="28"/>
          <w:rtl/>
        </w:rPr>
        <w:t>نا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بذلك، والترضّي على الصحابة كما جاء 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في </w:t>
      </w:r>
      <w:r w:rsidRPr="00DF3030">
        <w:rPr>
          <w:rFonts w:ascii="Traditional Arabic" w:hAnsi="Traditional Arabic"/>
          <w:sz w:val="28"/>
          <w:szCs w:val="28"/>
          <w:rtl/>
        </w:rPr>
        <w:t>النصوص التي تدل على أن اللَّه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جل جلاله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رضي عنهم، والترحم على من دونهم، فلا يقال: (أبو بكر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)، كما أنه لا يقال: (محمد </w:t>
      </w:r>
      <w:r w:rsidRPr="00DF3030">
        <w:rPr>
          <w:rFonts w:ascii="Traditional Arabic" w:hAnsi="Traditional Arabic" w:hint="cs"/>
          <w:sz w:val="28"/>
          <w:szCs w:val="28"/>
          <w:rtl/>
        </w:rPr>
        <w:t>عزَّ وجلَّ</w:t>
      </w:r>
      <w:r w:rsidRPr="00DF3030">
        <w:rPr>
          <w:rFonts w:ascii="Traditional Arabic" w:hAnsi="Traditional Arabic"/>
          <w:sz w:val="28"/>
          <w:szCs w:val="28"/>
          <w:rtl/>
        </w:rPr>
        <w:t>)، وإن كان عزيزًا جليلًا، ويتجاوز بعض الناس فيقول: (الإمام أحمد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رضي الله عنه أو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الشافعي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DF3030">
        <w:rPr>
          <w:rFonts w:ascii="Traditional Arabic" w:hAnsi="Traditional Arabic"/>
          <w:sz w:val="28"/>
          <w:szCs w:val="28"/>
          <w:rtl/>
        </w:rPr>
        <w:t>)، لكن العُرف على ما ذكرنا.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B"/>
    <w:rsid w:val="00530D34"/>
    <w:rsid w:val="006E515B"/>
    <w:rsid w:val="00842E8A"/>
    <w:rsid w:val="0095429D"/>
    <w:rsid w:val="00C54FDB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930F"/>
  <w15:chartTrackingRefBased/>
  <w15:docId w15:val="{E2369838-D2D8-4261-8B25-08EB5851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8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2021-07-21T16:08:00Z</dcterms:created>
  <dcterms:modified xsi:type="dcterms:W3CDTF">2021-07-21T16:08:00Z</dcterms:modified>
</cp:coreProperties>
</file>