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92D" w:rsidRPr="00A9198F" w:rsidRDefault="0067392D" w:rsidP="00452A72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إدخال الفيروز أبادي مقالة ابن عربي في شرحه للـ(البخاري)</w:t>
      </w:r>
    </w:p>
    <w:p w:rsidR="0067392D" w:rsidRPr="00A9198F" w:rsidRDefault="0067392D" w:rsidP="00452A72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A9198F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العلم</w:t>
      </w:r>
    </w:p>
    <w:p w:rsidR="0067392D" w:rsidRDefault="0067392D" w:rsidP="0067392D">
      <w:pPr>
        <w:framePr w:hSpace="180" w:wrap="around" w:vAnchor="text" w:hAnchor="margin" w:xAlign="center" w:y="258"/>
        <w:suppressOverlap/>
        <w:jc w:val="lowKashida"/>
        <w:rPr>
          <w:rFonts w:ascii="Simplified Arabic" w:hAnsi="Simplified Arabic" w:cs="Simplified Arabic"/>
          <w:sz w:val="28"/>
          <w:szCs w:val="28"/>
          <w:rtl/>
        </w:rPr>
      </w:pPr>
      <w:r w:rsidRPr="005E3044">
        <w:rPr>
          <w:rFonts w:ascii="Simplified Arabic" w:hAnsi="Simplified Arabic" w:cs="Simplified Arabic" w:hint="cs"/>
          <w:sz w:val="28"/>
          <w:szCs w:val="28"/>
          <w:rtl/>
        </w:rPr>
        <w:t xml:space="preserve">مجد الدين الفيروز أبادي صاحب القاموس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شرح 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>(صحيح البخاري) وسماه (منح الباري في شرح البخاري) ك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>ل ربع العبادات منه في عشرين مجلدًا،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ولم يَكْمُل باقي الكتاب،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 xml:space="preserve"> وعلى هذا لو ك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 xml:space="preserve">ل </w:t>
      </w:r>
      <w:r>
        <w:rPr>
          <w:rFonts w:ascii="Simplified Arabic" w:hAnsi="Simplified Arabic" w:cs="Simplified Arabic" w:hint="cs"/>
          <w:sz w:val="28"/>
          <w:szCs w:val="28"/>
          <w:rtl/>
        </w:rPr>
        <w:t>الكتاب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فقد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 xml:space="preserve"> يصل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إلى 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>خمسين أو ستين مجلدًا، قال التقي الفاسي: (لكنه -يعني الفيروز أبادي- ملأه بغرائب المنقولات لا سيما ل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>ا اشتهر باليمن مقالة ابن عربي - القول بوحدة الوجود- وغلب ذلك على علماء تلك البلاد، وصار يدخل في شرحه من فتوحاته -الفتوحات المكية لابن عربي- الكثير، ما كان سببًا لشين شرحه عند الطاعنين فيه)، والمجد الفيروز أبادي لا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يقول بهذه المقالة كما هو معروف،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 xml:space="preserve"> لكنه من أجل أن ي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>ر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 xml:space="preserve">وج الكتاب نقل عن ابن عربي هذه المقالة، وأشان كتابه بما نقله من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>الفصوص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>الفتوحات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 xml:space="preserve"> من أجل رواج الكتاب؛ لأن هذه المقالة اشتهرت وانتشرت في اليمن، واعتنقها كثير من الناس، </w:t>
      </w:r>
      <w:r>
        <w:rPr>
          <w:rFonts w:ascii="Simplified Arabic" w:hAnsi="Simplified Arabic" w:cs="Simplified Arabic" w:hint="cs"/>
          <w:sz w:val="28"/>
          <w:szCs w:val="28"/>
          <w:rtl/>
        </w:rPr>
        <w:t>وهذا الصنيع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 xml:space="preserve"> يفعله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بعض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 xml:space="preserve"> من يُصنّف في أي بلاد من البلدان التي اشتهر فيها مذهب من المذاهب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 xml:space="preserve"> فمن أجل أن يَرُوج الكتاب فإنه يذكر ما لا يراه من أقوال تلك المذاهب التي لا يعتد بها في الإجماع والخلاف مثل مذاهب الشيعة والزيدية ومنهم الهادوية، وك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>ت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>ب الصنعاني والشوكاني وغيرهم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 xml:space="preserve"> من أهل تلك النواحي مملوءة بهذه المذاهب،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لما كان غالب سكان اليمن في زمن الصنعاني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من الهادوية ش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ر أقوالهم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وذكرها من أجل أن ي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ر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وج الكتاب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وقد يكون الأمر بالعكس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فقد </w:t>
      </w:r>
      <w:r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طوى بعض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المذاهب والآراء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وإن كانت الحاجة إليه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قائمة وماسة من أجل رواج الكتاب، كما فعل ابن أبي العز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شرح الطحاوية في نقوله الكثيرة عن شيخ الإسلام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وابن القيم -رحمهما الله تعالى-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فقد </w:t>
      </w:r>
      <w:r>
        <w:rPr>
          <w:rFonts w:ascii="Simplified Arabic" w:hAnsi="Simplified Arabic" w:cs="Simplified Arabic"/>
          <w:sz w:val="28"/>
          <w:szCs w:val="28"/>
          <w:rtl/>
        </w:rPr>
        <w:t>نقل كثير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من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كتب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شي</w:t>
      </w:r>
      <w:r>
        <w:rPr>
          <w:rFonts w:ascii="Simplified Arabic" w:hAnsi="Simplified Arabic" w:cs="Simplified Arabic"/>
          <w:sz w:val="28"/>
          <w:szCs w:val="28"/>
          <w:rtl/>
        </w:rPr>
        <w:t>خ الإسلام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بل اعتمد عليه اعتماد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 كلي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في غالب مباحثه، وعلى تلميذه ابن القيم، ولم يذكر ولم يصرح باسم</w:t>
      </w:r>
      <w:r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هما من أجل أن ي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ر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وج الكتاب، فهذا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الصنيع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لا شك أن فيه نوع</w:t>
      </w:r>
      <w:r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من التماس المصلحة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فلا مانع من أن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ك</w:t>
      </w:r>
      <w:r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نى عن الشخص أو ينسب أو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عم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ى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لا يذكر اسمه إذا خشي على الكتاب من عدم الرواج، وإن كان فيه شبه مما يسم</w:t>
      </w:r>
      <w:r>
        <w:rPr>
          <w:rFonts w:ascii="Simplified Arabic" w:hAnsi="Simplified Arabic" w:cs="Simplified Arabic"/>
          <w:sz w:val="28"/>
          <w:szCs w:val="28"/>
          <w:rtl/>
        </w:rPr>
        <w:t>ى في مصطلح الحديث بتدليس الشيوخ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لكن مثل هذا لا يترتب عليه عمل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ولا حكم من الأحكام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فلا مانع من أن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نسب الكتاب إلى شخصٍ لا يكون في نسبته إليه كذب،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كثير من كتب شيخ الإسلام محمد بن عبد الوهاب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التي وزعت في الأقطار يقال: تأليف محمد بن سليمان التميمي، سليمان ج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د</w:t>
      </w:r>
      <w:r>
        <w:rPr>
          <w:rFonts w:ascii="Simplified Arabic" w:hAnsi="Simplified Arabic" w:cs="Simplified Arabic" w:hint="cs"/>
          <w:sz w:val="28"/>
          <w:szCs w:val="28"/>
          <w:rtl/>
        </w:rPr>
        <w:t>ُّ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ه، مفتي نجد قبله،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واسمه: </w:t>
      </w:r>
      <w:r>
        <w:rPr>
          <w:rFonts w:ascii="Simplified Arabic" w:hAnsi="Simplified Arabic" w:cs="Simplified Arabic"/>
          <w:sz w:val="28"/>
          <w:szCs w:val="28"/>
          <w:rtl/>
        </w:rPr>
        <w:t>سليمان بن علي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7156B3" w:rsidRDefault="0067392D" w:rsidP="00452A72">
      <w:pPr>
        <w:jc w:val="both"/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وأما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ما فعله و</w:t>
      </w:r>
      <w:r w:rsidRPr="005E3044">
        <w:rPr>
          <w:rFonts w:ascii="Simplified Arabic" w:hAnsi="Simplified Arabic" w:cs="Simplified Arabic"/>
          <w:sz w:val="28"/>
          <w:szCs w:val="28"/>
          <w:rtl/>
        </w:rPr>
        <w:t>صنعه المجد الفيروز أبادي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شرحه على (صحيح البخاري) من إدخاله لمقالة ابن عربي في وحدة الوجود،</w:t>
      </w:r>
      <w:r w:rsidRPr="005E304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فإنه </w:t>
      </w:r>
      <w:r w:rsidRPr="005E3044">
        <w:rPr>
          <w:rFonts w:ascii="Simplified Arabic" w:hAnsi="Simplified Arabic" w:cs="Simplified Arabic"/>
          <w:sz w:val="28"/>
          <w:szCs w:val="28"/>
          <w:rtl/>
        </w:rPr>
        <w:t xml:space="preserve">لا مبرر له، وإن اشتهرت هذه المقالة؛ لأن هذه المقالة أمرها خطير وعظيم، تفوق مصلحة رواج الكتاب،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5E3044">
        <w:rPr>
          <w:rFonts w:ascii="Simplified Arabic" w:hAnsi="Simplified Arabic" w:cs="Simplified Arabic"/>
          <w:sz w:val="28"/>
          <w:szCs w:val="28"/>
          <w:rtl/>
        </w:rPr>
        <w:t xml:space="preserve">لو لم يؤلف الكتاب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/>
          <w:sz w:val="28"/>
          <w:szCs w:val="28"/>
          <w:rtl/>
        </w:rPr>
        <w:t>الناس ليسوا بحاجةٍ إليه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E3044">
        <w:rPr>
          <w:rFonts w:ascii="Simplified Arabic" w:hAnsi="Simplified Arabic" w:cs="Simplified Arabic"/>
          <w:sz w:val="28"/>
          <w:szCs w:val="28"/>
          <w:rtl/>
        </w:rPr>
        <w:t>أصل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5E3044"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وقد يكون في الكتاب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 xml:space="preserve"> فوائد لكن ضرره أكثر من نفعه، وحينئذٍ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 xml:space="preserve">إذا كان الكتاب بهذه المثابة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فإنه 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>حذ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 xml:space="preserve">ر منه، بخلاف ما إذا كان نفعه أكثر </w:t>
      </w:r>
      <w:r>
        <w:rPr>
          <w:rFonts w:ascii="Simplified Arabic" w:hAnsi="Simplified Arabic" w:cs="Simplified Arabic" w:hint="cs"/>
          <w:sz w:val="28"/>
          <w:szCs w:val="28"/>
          <w:rtl/>
        </w:rPr>
        <w:t>من الضرر المترتب عليه،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 xml:space="preserve"> كما هو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الغالب على 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>التفاسير التي يعتمد عليها ال</w:t>
      </w:r>
      <w:bookmarkStart w:id="0" w:name="_GoBack"/>
      <w:bookmarkEnd w:id="0"/>
      <w:r w:rsidRPr="005E3044">
        <w:rPr>
          <w:rFonts w:ascii="Simplified Arabic" w:hAnsi="Simplified Arabic" w:cs="Simplified Arabic" w:hint="cs"/>
          <w:sz w:val="28"/>
          <w:szCs w:val="28"/>
          <w:rtl/>
        </w:rPr>
        <w:t xml:space="preserve">متأخرون، وغالب شروح الحديث </w:t>
      </w:r>
      <w:r>
        <w:rPr>
          <w:rFonts w:ascii="Simplified Arabic" w:hAnsi="Simplified Arabic" w:cs="Simplified Arabic" w:hint="cs"/>
          <w:sz w:val="28"/>
          <w:szCs w:val="28"/>
          <w:rtl/>
        </w:rPr>
        <w:t>التي وجد فيها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>- مع الأسف الشديد-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يقدح فيها، 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>يقول ابن حجر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عن شرح الفيروز أبادي على (صحيح البخاري):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 xml:space="preserve"> أنه رأى القطعة التي كملت في حياة مؤلفه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عشرون مجلدًا- 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>قد أكل</w:t>
      </w:r>
      <w:r>
        <w:rPr>
          <w:rFonts w:ascii="Simplified Arabic" w:hAnsi="Simplified Arabic" w:cs="Simplified Arabic" w:hint="cs"/>
          <w:sz w:val="28"/>
          <w:szCs w:val="28"/>
          <w:rtl/>
        </w:rPr>
        <w:t>تها الأرضة بكمالها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 xml:space="preserve">، بحيث </w:t>
      </w:r>
      <w:r>
        <w:rPr>
          <w:rFonts w:ascii="Simplified Arabic" w:hAnsi="Simplified Arabic" w:cs="Simplified Arabic" w:hint="cs"/>
          <w:sz w:val="28"/>
          <w:szCs w:val="28"/>
          <w:rtl/>
        </w:rPr>
        <w:t>لا يُ</w:t>
      </w:r>
      <w:r w:rsidRPr="003C5AD2">
        <w:rPr>
          <w:rFonts w:ascii="Simplified Arabic" w:hAnsi="Simplified Arabic" w:cs="Simplified Arabic" w:hint="cs"/>
          <w:sz w:val="28"/>
          <w:szCs w:val="28"/>
          <w:rtl/>
        </w:rPr>
        <w:t>قدر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 xml:space="preserve"> على قراءة شيءٍ منها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وهي النسخة الوحيدة، وهذه من نعمة الله على المؤلف قبل غيره</w:t>
      </w:r>
      <w:r w:rsidRPr="005E3044">
        <w:rPr>
          <w:rFonts w:ascii="Simplified Arabic" w:hAnsi="Simplified Arabic" w:cs="Simplified Arabic" w:hint="cs"/>
          <w:sz w:val="28"/>
          <w:szCs w:val="28"/>
          <w:rtl/>
        </w:rPr>
        <w:t>، فلله الحمد والمنة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7156B3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64D09EF-4D59-4EA4-951B-428AB8A3CA1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83ECC38B-9854-48D9-9FAB-B4107BF2968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C407846D-AFFC-4B87-A390-814D8061FF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DBC549F-3490-477E-ADC1-EE034015EE95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615259C-3B4C-4916-BFB9-364F3FF5F9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258E0C3-D338-4FAB-A42D-A41089B1C5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FFE"/>
    <w:rsid w:val="00452A72"/>
    <w:rsid w:val="004A7FFE"/>
    <w:rsid w:val="0067392D"/>
    <w:rsid w:val="007156B3"/>
    <w:rsid w:val="0073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EF0A31-A95F-4427-AAA0-B5303E17C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392D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2016-05-15T06:44:00Z</dcterms:created>
  <dcterms:modified xsi:type="dcterms:W3CDTF">2017-01-02T15:47:00Z</dcterms:modified>
</cp:coreProperties>
</file>