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6B5" w:rsidRPr="00FC71E8" w:rsidRDefault="007C16B5" w:rsidP="004C049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shd w:val="clear" w:color="auto" w:fill="FFFFFF" w:themeFill="background1"/>
          <w:rtl/>
        </w:rPr>
      </w:pPr>
      <w:r>
        <w:rPr>
          <w:rFonts w:ascii="Simplified Arabic" w:hAnsi="Simplified Arabic" w:cs="Simplified Arabic" w:hint="cs"/>
          <w:b/>
          <w:color w:val="0070C0"/>
          <w:sz w:val="28"/>
          <w:szCs w:val="28"/>
          <w:shd w:val="clear" w:color="auto" w:fill="FFFFFF" w:themeFill="background1"/>
          <w:rtl/>
        </w:rPr>
        <w:t>وصف الأثر المقطوع بالاتصال</w:t>
      </w:r>
    </w:p>
    <w:p w:rsidR="007C16B5" w:rsidRPr="00FC71E8" w:rsidRDefault="007C16B5" w:rsidP="004C049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shd w:val="clear" w:color="auto" w:fill="FFFFFF" w:themeFill="background1"/>
          <w:rtl/>
        </w:rPr>
      </w:pPr>
      <w:r w:rsidRPr="00FC71E8">
        <w:rPr>
          <w:rFonts w:ascii="Simplified Arabic" w:hAnsi="Simplified Arabic" w:cs="Simplified Arabic" w:hint="cs"/>
          <w:b/>
          <w:color w:val="0070C0"/>
          <w:sz w:val="28"/>
          <w:szCs w:val="28"/>
          <w:shd w:val="clear" w:color="auto" w:fill="FFFFFF" w:themeFill="background1"/>
          <w:rtl/>
        </w:rPr>
        <w:t>مصطلح الحديث</w:t>
      </w:r>
    </w:p>
    <w:p w:rsidR="00DF3AF8" w:rsidRDefault="007C16B5" w:rsidP="004C0498">
      <w:pPr>
        <w:jc w:val="both"/>
      </w:pPr>
      <w:r w:rsidRPr="003F572A">
        <w:rPr>
          <w:rFonts w:ascii="Simplified Arabic" w:hAnsi="Simplified Arabic" w:cs="Simplified Arabic" w:hint="cs"/>
          <w:b/>
          <w:sz w:val="28"/>
          <w:szCs w:val="28"/>
          <w:shd w:val="clear" w:color="auto" w:fill="FFFFFF" w:themeFill="background1"/>
          <w:rtl/>
        </w:rPr>
        <w:t xml:space="preserve">علماء الحديث </w:t>
      </w:r>
      <w:r w:rsidRPr="003F572A">
        <w:rPr>
          <w:rFonts w:ascii="Simplified Arabic" w:hAnsi="Simplified Arabic" w:cs="Simplified Arabic"/>
          <w:b/>
          <w:sz w:val="28"/>
          <w:szCs w:val="28"/>
          <w:shd w:val="clear" w:color="auto" w:fill="FFFFFF" w:themeFill="background1"/>
          <w:rtl/>
        </w:rPr>
        <w:t>لا يرون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أن يُدخل المقطوع في الاتصال والانقطاع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بأن يقال عن الأثر: (مقطوع متصل)،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هم لم يروا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وصف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المقطوع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بالاتصال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للتنافر اللفظي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بين الكلمتين،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أما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مع انفكاك الجهة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فقد لا يُمنع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إذا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 يُشك</w:t>
      </w:r>
      <w:bookmarkStart w:id="0" w:name="_GoBack"/>
      <w:bookmarkEnd w:id="0"/>
      <w:r>
        <w:rPr>
          <w:rFonts w:ascii="Simplified Arabic" w:hAnsi="Simplified Arabic" w:cs="Simplified Arabic" w:hint="cs"/>
          <w:b/>
          <w:sz w:val="28"/>
          <w:szCs w:val="28"/>
          <w:rtl/>
        </w:rPr>
        <w:t>ل، كأن تقول عن شخص</w:t>
      </w:r>
      <w:r w:rsidRPr="00DE7ED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طويلٍ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عمره </w:t>
      </w:r>
      <w:r w:rsidRPr="00DE7ED6">
        <w:rPr>
          <w:rFonts w:ascii="Simplified Arabic" w:hAnsi="Simplified Arabic" w:cs="Simplified Arabic" w:hint="cs"/>
          <w:b/>
          <w:sz w:val="28"/>
          <w:szCs w:val="28"/>
          <w:rtl/>
        </w:rPr>
        <w:t>قصيرٍ في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قامته، تقول: (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رأيت الطويل القصير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) </w:t>
      </w:r>
      <w:r>
        <w:rPr>
          <w:rFonts w:ascii="Simplified Arabic" w:hAnsi="Simplified Arabic" w:cs="Simplified Arabic"/>
          <w:b/>
          <w:sz w:val="28"/>
          <w:szCs w:val="28"/>
          <w:rtl/>
        </w:rPr>
        <w:t>فهذا متنافر لفظ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الجهة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منفكة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جاء في القرآن </w:t>
      </w:r>
      <w:r w:rsidRPr="00236AA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</w:t>
      </w:r>
      <w:r w:rsidRPr="00236A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فَأَنَّهُ</w:t>
      </w:r>
      <w:r w:rsidRPr="00236AA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Pr="00236A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يُضِلُّهُ</w:t>
      </w:r>
      <w:r w:rsidRPr="00236AA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Pr="00236A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وَيَهْدِيهِ</w:t>
      </w:r>
      <w:r w:rsidRPr="00236AA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}</w:t>
      </w:r>
      <w:r w:rsidRPr="003F572A">
        <w:rPr>
          <w:rFonts w:ascii="Simplified Arabic" w:hAnsi="Simplified Arabic" w:cs="Simplified Arabic"/>
          <w:b/>
          <w:sz w:val="28"/>
          <w:szCs w:val="28"/>
          <w:rtl/>
        </w:rPr>
        <w:t xml:space="preserve"> [</w:t>
      </w:r>
      <w:r w:rsidRPr="003F572A">
        <w:rPr>
          <w:rFonts w:ascii="Simplified Arabic" w:hAnsi="Simplified Arabic" w:cs="Simplified Arabic" w:hint="cs"/>
          <w:b/>
          <w:sz w:val="28"/>
          <w:szCs w:val="28"/>
          <w:rtl/>
        </w:rPr>
        <w:t>الحج</w:t>
      </w:r>
      <w:r w:rsidRPr="003F572A">
        <w:rPr>
          <w:rFonts w:ascii="Simplified Arabic" w:hAnsi="Simplified Arabic" w:cs="Simplified Arabic"/>
          <w:b/>
          <w:sz w:val="28"/>
          <w:szCs w:val="28"/>
          <w:rtl/>
        </w:rPr>
        <w:t>: 4]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36202E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كذلك يقال في إطلاق الاتصال على الأثر المقطوع بأن الجهة منفكة؛ فهو</w:t>
      </w:r>
      <w:r w:rsidRPr="0036202E">
        <w:rPr>
          <w:rFonts w:ascii="Simplified Arabic" w:hAnsi="Simplified Arabic" w:cs="Simplified Arabic"/>
          <w:b/>
          <w:sz w:val="28"/>
          <w:szCs w:val="28"/>
          <w:rtl/>
        </w:rPr>
        <w:t xml:space="preserve"> مقطوع من حيث ال</w:t>
      </w:r>
      <w:r>
        <w:rPr>
          <w:rFonts w:ascii="Simplified Arabic" w:hAnsi="Simplified Arabic" w:cs="Simplified Arabic"/>
          <w:b/>
          <w:sz w:val="28"/>
          <w:szCs w:val="28"/>
          <w:rtl/>
        </w:rPr>
        <w:t>إضافة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متصل من حيث تسلسل الإسناد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 ف</w:t>
      </w:r>
      <w:r w:rsidRPr="0036202E">
        <w:rPr>
          <w:rFonts w:ascii="Simplified Arabic" w:hAnsi="Simplified Arabic" w:cs="Simplified Arabic"/>
          <w:b/>
          <w:sz w:val="28"/>
          <w:szCs w:val="28"/>
          <w:rtl/>
        </w:rPr>
        <w:t>لا مانع من أن يقال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6202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202E">
        <w:rPr>
          <w:rFonts w:ascii="Simplified Arabic" w:hAnsi="Simplified Arabic" w:cs="Simplified Arabic"/>
          <w:b/>
          <w:sz w:val="28"/>
          <w:szCs w:val="28"/>
          <w:rtl/>
        </w:rPr>
        <w:t>مقطوع متصل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لكن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أهل الحديث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يقولون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 يُمنع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من باب عدم ارتكاب هذا الأسلوب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المخلّ بالفصاحة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 للتنافر اللفظي بين الكلمتين.</w:t>
      </w:r>
    </w:p>
    <w:sectPr w:rsidR="00DF3AF8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D0AF4A0-6475-4945-91FE-34D63740991A}"/>
    <w:embedBold r:id="rId2" w:fontKey="{95ED9E7F-C589-4D82-937E-C31CB0222C8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98F4D6B3-0489-4B1C-8944-A649C8894E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2544ABA-D01B-4812-8D2F-9EA20F9DE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4953299-F1EF-456D-9F3F-179E86E6655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9AB16FD-2D54-4089-AD68-EC0C8371C262}"/>
    <w:embedBold r:id="rId7" w:fontKey="{40693844-8298-4D81-B9B5-501DA4B8A8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31F9A94-549E-4267-BFDC-B4E4575F0F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DB4"/>
    <w:rsid w:val="004C0498"/>
    <w:rsid w:val="0073647D"/>
    <w:rsid w:val="007C16B5"/>
    <w:rsid w:val="007E5DB4"/>
    <w:rsid w:val="00D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218076-3349-4120-9B52-74EA9D0B3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6B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2016-05-12T09:35:00Z</dcterms:created>
  <dcterms:modified xsi:type="dcterms:W3CDTF">2017-01-02T13:00:00Z</dcterms:modified>
</cp:coreProperties>
</file>