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45" w:rsidRDefault="00A44945" w:rsidP="00A44945">
      <w:pPr>
        <w:jc w:val="center"/>
        <w:rPr>
          <w:rFonts w:ascii="Traditional Arabic" w:hAnsi="Traditional Arabic" w:cs="Traditional Arabic"/>
          <w:sz w:val="28"/>
          <w:szCs w:val="36"/>
          <w:rtl/>
        </w:rPr>
      </w:pPr>
      <w:r w:rsidRPr="00A44945">
        <w:rPr>
          <w:rFonts w:ascii="Traditional Arabic" w:hAnsi="Traditional Arabic" w:cs="Traditional Arabic" w:hint="cs"/>
          <w:b/>
          <w:bCs/>
          <w:color w:val="0000FF"/>
          <w:sz w:val="32"/>
          <w:szCs w:val="40"/>
          <w:rtl/>
        </w:rPr>
        <w:t>ماله سبب وجوب ووقت وجوب لا</w:t>
      </w:r>
      <w:r>
        <w:rPr>
          <w:rFonts w:ascii="Traditional Arabic" w:hAnsi="Traditional Arabic" w:cs="Traditional Arabic" w:hint="cs"/>
          <w:b/>
          <w:bCs/>
          <w:color w:val="0000FF"/>
          <w:sz w:val="32"/>
          <w:szCs w:val="40"/>
          <w:rtl/>
        </w:rPr>
        <w:t xml:space="preserve"> </w:t>
      </w:r>
      <w:r w:rsidRPr="00A44945">
        <w:rPr>
          <w:rFonts w:ascii="Traditional Arabic" w:hAnsi="Traditional Arabic" w:cs="Traditional Arabic" w:hint="cs"/>
          <w:b/>
          <w:bCs/>
          <w:color w:val="0000FF"/>
          <w:sz w:val="32"/>
          <w:szCs w:val="40"/>
          <w:rtl/>
        </w:rPr>
        <w:t>يجوز فعله قبل سبب الوجوب</w:t>
      </w:r>
    </w:p>
    <w:p w:rsidR="007C3B87" w:rsidRDefault="00A44945" w:rsidP="00395E38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44945">
        <w:rPr>
          <w:rFonts w:ascii="Traditional Arabic" w:hAnsi="Traditional Arabic" w:cs="Traditional Arabic"/>
          <w:b/>
          <w:bCs/>
          <w:sz w:val="24"/>
          <w:szCs w:val="32"/>
          <w:rtl/>
        </w:rPr>
        <w:t xml:space="preserve">القاعدة أن ما له سبب وجوب ووقت وجوب لا يجوز قبل سبب الوجوب، ويجوز بعد وقت الوجوب، ويجوز أيضاً الخلاف فيما بينهما؛ لكن الراجح جوازه، يعني لو أخرج كفارة </w:t>
      </w:r>
      <w:r w:rsidRPr="00A44945">
        <w:rPr>
          <w:rFonts w:ascii="Traditional Arabic" w:hAnsi="Traditional Arabic" w:cs="Traditional Arabic" w:hint="cs"/>
          <w:b/>
          <w:bCs/>
          <w:sz w:val="24"/>
          <w:szCs w:val="32"/>
          <w:rtl/>
        </w:rPr>
        <w:t>ال</w:t>
      </w:r>
      <w:r w:rsidRPr="00A44945">
        <w:rPr>
          <w:rFonts w:ascii="Traditional Arabic" w:hAnsi="Traditional Arabic" w:cs="Traditional Arabic"/>
          <w:b/>
          <w:bCs/>
          <w:sz w:val="24"/>
          <w:szCs w:val="32"/>
          <w:rtl/>
        </w:rPr>
        <w:t xml:space="preserve">يمين قبل أن يبرم أو يعقد اليمين، يجوز، ولو أخرجها بعد الحنث جاز اتفاقاً، وبينهما محل الخلاف والصواب الجواز؛ لأنه جاء في حديث: </w:t>
      </w:r>
      <w:r w:rsidRPr="00A44945">
        <w:rPr>
          <w:rFonts w:ascii="Traditional Arabic" w:hAnsi="Traditional Arabic" w:cs="Traditional Arabic"/>
          <w:b/>
          <w:bCs/>
          <w:color w:val="0000FF"/>
          <w:sz w:val="24"/>
          <w:szCs w:val="32"/>
          <w:rtl/>
        </w:rPr>
        <w:t>((والله لا أحلف على يمين فأرى غيرها خيراً منها إلا أتيت الذي هو خير ثم كفرت عن يمني))</w:t>
      </w:r>
      <w:r w:rsidRPr="00A44945">
        <w:rPr>
          <w:rFonts w:ascii="Traditional Arabic" w:hAnsi="Traditional Arabic" w:cs="Traditional Arabic"/>
          <w:b/>
          <w:bCs/>
          <w:sz w:val="24"/>
          <w:szCs w:val="32"/>
          <w:rtl/>
        </w:rPr>
        <w:t xml:space="preserve"> وجاء: </w:t>
      </w:r>
      <w:r w:rsidRPr="00A44945">
        <w:rPr>
          <w:rFonts w:ascii="Traditional Arabic" w:hAnsi="Traditional Arabic" w:cs="Traditional Arabic"/>
          <w:b/>
          <w:bCs/>
          <w:color w:val="0000FF"/>
          <w:sz w:val="24"/>
          <w:szCs w:val="32"/>
          <w:rtl/>
        </w:rPr>
        <w:t xml:space="preserve">((كفرت عن يمني، </w:t>
      </w:r>
      <w:bookmarkStart w:id="0" w:name="_GoBack"/>
      <w:bookmarkEnd w:id="0"/>
      <w:r w:rsidRPr="00A44945">
        <w:rPr>
          <w:rFonts w:ascii="Traditional Arabic" w:hAnsi="Traditional Arabic" w:cs="Traditional Arabic"/>
          <w:b/>
          <w:bCs/>
          <w:color w:val="0000FF"/>
          <w:sz w:val="24"/>
          <w:szCs w:val="32"/>
          <w:rtl/>
        </w:rPr>
        <w:t>وأتيت الذي هو خير))</w:t>
      </w:r>
      <w:r w:rsidRPr="00A44945">
        <w:rPr>
          <w:rFonts w:ascii="Traditional Arabic" w:hAnsi="Traditional Arabic" w:cs="Traditional Arabic"/>
          <w:b/>
          <w:bCs/>
          <w:sz w:val="24"/>
          <w:szCs w:val="32"/>
          <w:rtl/>
        </w:rPr>
        <w:t xml:space="preserve"> هنا يجوز أن يخرجها إذا احتاج إلى فعل المحظور قبله وبعده، ينطبق على القاعدة أولا ينطبق؟ </w:t>
      </w:r>
      <w:r w:rsidRPr="00A44945">
        <w:rPr>
          <w:rFonts w:ascii="Traditional Arabic" w:hAnsi="Traditional Arabic" w:cs="Traditional Arabic" w:hint="cs"/>
          <w:b/>
          <w:bCs/>
          <w:sz w:val="24"/>
          <w:szCs w:val="32"/>
          <w:rtl/>
        </w:rPr>
        <w:t>ف</w:t>
      </w:r>
      <w:r w:rsidRPr="00A44945">
        <w:rPr>
          <w:rFonts w:ascii="Traditional Arabic" w:hAnsi="Traditional Arabic" w:cs="Traditional Arabic"/>
          <w:b/>
          <w:bCs/>
          <w:sz w:val="24"/>
          <w:szCs w:val="32"/>
          <w:rtl/>
        </w:rPr>
        <w:t>سبب الوجوب الإحرام، ووقت الوجوب ارتكاب المحظور، فيجوز قبل ارتكاب المحظور وبعده، هذه</w:t>
      </w:r>
      <w:r w:rsidRPr="00A44945">
        <w:rPr>
          <w:rFonts w:ascii="Traditional Arabic" w:hAnsi="Traditional Arabic" w:cs="Traditional Arabic" w:hint="cs"/>
          <w:b/>
          <w:bCs/>
          <w:sz w:val="24"/>
          <w:szCs w:val="32"/>
          <w:rtl/>
        </w:rPr>
        <w:t xml:space="preserve"> هي</w:t>
      </w:r>
      <w:r w:rsidRPr="00A44945">
        <w:rPr>
          <w:rFonts w:ascii="Traditional Arabic" w:hAnsi="Traditional Arabic" w:cs="Traditional Arabic"/>
          <w:b/>
          <w:bCs/>
          <w:sz w:val="24"/>
          <w:szCs w:val="32"/>
          <w:rtl/>
        </w:rPr>
        <w:t xml:space="preserve"> القاعدة</w:t>
      </w:r>
      <w:r w:rsidRPr="00A44945">
        <w:rPr>
          <w:rFonts w:ascii="Traditional Arabic" w:hAnsi="Traditional Arabic" w:cs="Traditional Arabic" w:hint="cs"/>
          <w:b/>
          <w:bCs/>
          <w:sz w:val="24"/>
          <w:szCs w:val="32"/>
          <w:rtl/>
        </w:rPr>
        <w:t>.</w:t>
      </w:r>
    </w:p>
    <w:p w:rsidR="00A44945" w:rsidRDefault="00A44945" w:rsidP="00395E38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A44945" w:rsidRDefault="00A44945" w:rsidP="00395E38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المصدر:شرح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منسك شيخ الإسلام ابن تيمية للشيخ: عبد الكريم الخضير.</w:t>
      </w:r>
    </w:p>
    <w:p w:rsidR="00A44945" w:rsidRPr="00A44945" w:rsidRDefault="00A44945" w:rsidP="00395E38">
      <w:pPr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الدرس الرابع، 4/12/1427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ه .</w:t>
      </w:r>
      <w:proofErr w:type="gramEnd"/>
    </w:p>
    <w:sectPr w:rsidR="00A44945" w:rsidRPr="00A44945" w:rsidSect="000068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4945"/>
    <w:rsid w:val="000068C0"/>
    <w:rsid w:val="000762CD"/>
    <w:rsid w:val="00395E38"/>
    <w:rsid w:val="00447E17"/>
    <w:rsid w:val="004F581E"/>
    <w:rsid w:val="007C3B87"/>
    <w:rsid w:val="00A44945"/>
    <w:rsid w:val="00D82F13"/>
    <w:rsid w:val="00D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03585-6A5B-40CD-AB6D-55B8DD0F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B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Senad Crnkić</cp:lastModifiedBy>
  <cp:revision>5</cp:revision>
  <cp:lastPrinted>2014-09-25T11:52:00Z</cp:lastPrinted>
  <dcterms:created xsi:type="dcterms:W3CDTF">2014-09-11T08:11:00Z</dcterms:created>
  <dcterms:modified xsi:type="dcterms:W3CDTF">2014-09-25T11:52:00Z</dcterms:modified>
</cp:coreProperties>
</file>